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C152" w14:textId="77777777" w:rsidR="00EC7C82" w:rsidRDefault="00EC7C82" w:rsidP="00B958A8">
      <w:pPr>
        <w:spacing w:after="200" w:line="276" w:lineRule="auto"/>
        <w:rPr>
          <w:rFonts w:ascii="Arial" w:eastAsia="Calibri" w:hAnsi="Arial" w:cs="Arial"/>
          <w:sz w:val="28"/>
          <w:szCs w:val="28"/>
        </w:rPr>
      </w:pPr>
    </w:p>
    <w:p w14:paraId="1F6E18C5" w14:textId="77777777" w:rsidR="00EC7C82" w:rsidRPr="00EC7C82" w:rsidRDefault="00B958A8" w:rsidP="00EC7C82">
      <w:pPr>
        <w:jc w:val="center"/>
        <w:rPr>
          <w:rFonts w:ascii="Arial" w:eastAsia="Calibri" w:hAnsi="Arial" w:cs="Arial"/>
          <w:b/>
          <w:sz w:val="36"/>
          <w:szCs w:val="36"/>
        </w:rPr>
      </w:pPr>
      <w:r>
        <w:rPr>
          <w:rFonts w:ascii="Arial" w:eastAsia="Calibri" w:hAnsi="Arial" w:cs="Arial"/>
          <w:sz w:val="28"/>
          <w:szCs w:val="28"/>
        </w:rPr>
        <w:t xml:space="preserve">          </w:t>
      </w:r>
      <w:r w:rsidR="00EC7C82" w:rsidRPr="00EC7C82">
        <w:rPr>
          <w:rFonts w:ascii="Arial" w:eastAsia="Calibri" w:hAnsi="Arial" w:cs="Arial"/>
          <w:b/>
          <w:sz w:val="36"/>
          <w:szCs w:val="36"/>
        </w:rPr>
        <w:t xml:space="preserve">Role of Key Person </w:t>
      </w:r>
    </w:p>
    <w:p w14:paraId="5DB8F6F6" w14:textId="77777777" w:rsidR="00EC7C82" w:rsidRPr="00EC7C82" w:rsidRDefault="00EC7C82" w:rsidP="00EC7C82">
      <w:pPr>
        <w:spacing w:after="200" w:line="276" w:lineRule="auto"/>
        <w:jc w:val="center"/>
        <w:rPr>
          <w:rFonts w:ascii="Arial" w:eastAsia="Calibri" w:hAnsi="Arial" w:cs="Arial"/>
          <w:sz w:val="24"/>
          <w:szCs w:val="24"/>
        </w:rPr>
      </w:pPr>
      <w:r w:rsidRPr="00EC7C82">
        <w:rPr>
          <w:rFonts w:ascii="Arial" w:eastAsia="Calibri" w:hAnsi="Arial" w:cs="Arial"/>
          <w:sz w:val="24"/>
          <w:szCs w:val="24"/>
        </w:rPr>
        <w:t xml:space="preserve">This policy is for the centrally managed (by Bristol City Council Early </w:t>
      </w:r>
      <w:proofErr w:type="spellStart"/>
      <w:r w:rsidRPr="00EC7C82">
        <w:rPr>
          <w:rFonts w:ascii="Arial" w:eastAsia="Calibri" w:hAnsi="Arial" w:cs="Arial"/>
          <w:sz w:val="24"/>
          <w:szCs w:val="24"/>
        </w:rPr>
        <w:t>Years Service</w:t>
      </w:r>
      <w:proofErr w:type="spellEnd"/>
      <w:r w:rsidRPr="00EC7C82">
        <w:rPr>
          <w:rFonts w:ascii="Arial" w:eastAsia="Calibri" w:hAnsi="Arial" w:cs="Arial"/>
          <w:sz w:val="24"/>
          <w:szCs w:val="24"/>
        </w:rPr>
        <w:t>) early education and childcare provision in our Children’s Centres.</w:t>
      </w:r>
    </w:p>
    <w:p w14:paraId="1BE71A74" w14:textId="77777777" w:rsidR="00EC7C82" w:rsidRPr="00EC7C82" w:rsidRDefault="00EC7C82" w:rsidP="00EC7C82">
      <w:pPr>
        <w:spacing w:after="200" w:line="276" w:lineRule="auto"/>
        <w:jc w:val="center"/>
        <w:rPr>
          <w:rFonts w:ascii="Arial" w:eastAsia="Calibri" w:hAnsi="Arial" w:cs="Arial"/>
          <w:sz w:val="36"/>
          <w:szCs w:val="36"/>
        </w:rPr>
      </w:pPr>
    </w:p>
    <w:p w14:paraId="0BEE9AE0"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b/>
          <w:bCs/>
          <w:sz w:val="24"/>
          <w:szCs w:val="24"/>
          <w:lang w:val="en" w:eastAsia="en-GB"/>
        </w:rPr>
        <w:t>Your Key Person</w:t>
      </w:r>
      <w:r w:rsidRPr="00EC7C82">
        <w:rPr>
          <w:rFonts w:ascii="Arial" w:eastAsia="Times New Roman" w:hAnsi="Arial" w:cs="Arial"/>
          <w:sz w:val="24"/>
          <w:szCs w:val="24"/>
          <w:lang w:val="en" w:eastAsia="en-GB"/>
        </w:rPr>
        <w:t xml:space="preserve"> is your special person who will be there for you and your child every day. They are there to support your child’s learning and development, for you to share achievements and concerns, for someone to talk to confidentially and signpost you to any family support sessions.</w:t>
      </w:r>
    </w:p>
    <w:p w14:paraId="5BB848D5"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sz w:val="24"/>
          <w:szCs w:val="24"/>
          <w:lang w:val="en" w:eastAsia="en-GB"/>
        </w:rPr>
        <w:t xml:space="preserve">Every child deserves to be special to someone and the key person approach </w:t>
      </w:r>
      <w:proofErr w:type="spellStart"/>
      <w:r w:rsidRPr="00EC7C82">
        <w:rPr>
          <w:rFonts w:ascii="Arial" w:eastAsia="Times New Roman" w:hAnsi="Arial" w:cs="Arial"/>
          <w:sz w:val="24"/>
          <w:szCs w:val="24"/>
          <w:lang w:val="en" w:eastAsia="en-GB"/>
        </w:rPr>
        <w:t>recognises</w:t>
      </w:r>
      <w:proofErr w:type="spellEnd"/>
      <w:r w:rsidRPr="00EC7C82">
        <w:rPr>
          <w:rFonts w:ascii="Arial" w:eastAsia="Times New Roman" w:hAnsi="Arial" w:cs="Arial"/>
          <w:sz w:val="24"/>
          <w:szCs w:val="24"/>
          <w:lang w:val="en" w:eastAsia="en-GB"/>
        </w:rPr>
        <w:t xml:space="preserve"> this.</w:t>
      </w:r>
    </w:p>
    <w:p w14:paraId="47CEFBD4"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sz w:val="24"/>
          <w:szCs w:val="24"/>
          <w:lang w:val="en" w:eastAsia="en-GB"/>
        </w:rPr>
        <w:t xml:space="preserve">The key person approach is one of the vital principals in the Early Years Foundation Stage and now a statutory requirement of the framework. It is a reciprocal relationship between a member of staff, individual child and their family. </w:t>
      </w:r>
    </w:p>
    <w:p w14:paraId="6A9FD5CB"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sz w:val="24"/>
          <w:szCs w:val="24"/>
          <w:lang w:val="en" w:eastAsia="en-GB"/>
        </w:rPr>
        <w:t>It provides the child with a sense of security so that they feel confident to explore their world and build resilience.</w:t>
      </w:r>
    </w:p>
    <w:p w14:paraId="10D9CE86"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sz w:val="24"/>
          <w:szCs w:val="24"/>
          <w:lang w:val="en" w:eastAsia="en-GB"/>
        </w:rPr>
        <w:t>The Key person has an ‘invisible elastic thread’ of attachment to their key child, holding them in mind throughout their time at nursery. It does not mean that they ‘shadow’ or cling to the child or that they have to manage on their own.</w:t>
      </w:r>
    </w:p>
    <w:p w14:paraId="0ED4B53D" w14:textId="77777777" w:rsidR="00EC7C82" w:rsidRPr="00EC7C82" w:rsidRDefault="00EC7C82" w:rsidP="00EC7C82">
      <w:pPr>
        <w:spacing w:before="100" w:beforeAutospacing="1" w:after="100" w:afterAutospacing="1" w:line="240" w:lineRule="auto"/>
        <w:rPr>
          <w:rFonts w:ascii="Arial" w:eastAsia="Times New Roman" w:hAnsi="Arial" w:cs="Arial"/>
          <w:b/>
          <w:bCs/>
          <w:sz w:val="24"/>
          <w:szCs w:val="24"/>
          <w:lang w:val="en" w:eastAsia="en-GB"/>
        </w:rPr>
      </w:pPr>
    </w:p>
    <w:p w14:paraId="11398E60"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b/>
          <w:bCs/>
          <w:sz w:val="24"/>
          <w:szCs w:val="24"/>
          <w:lang w:val="en" w:eastAsia="en-GB"/>
        </w:rPr>
        <w:t xml:space="preserve">What is the role of the Key Person? </w:t>
      </w:r>
    </w:p>
    <w:p w14:paraId="6817A89A"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sz w:val="24"/>
          <w:szCs w:val="24"/>
          <w:lang w:val="en" w:eastAsia="en-GB"/>
        </w:rPr>
        <w:t>The role of the Key Person is to know their individual child and to support their sense of identity and individuality, ensuring they feel secure and valued. They need to be aware of their individual child’s and family’s needs, preferences and development. Building trusting and open relationships with families is one way to pave the way for a healthy attachment with a child.</w:t>
      </w:r>
    </w:p>
    <w:p w14:paraId="6EAC10D5" w14:textId="77777777" w:rsidR="00EC7C82" w:rsidRPr="00EC7C82" w:rsidRDefault="00EC7C82" w:rsidP="00EC7C82">
      <w:pPr>
        <w:spacing w:before="100" w:beforeAutospacing="1" w:after="100" w:afterAutospacing="1" w:line="240" w:lineRule="auto"/>
        <w:rPr>
          <w:rFonts w:ascii="Arial" w:eastAsia="Times New Roman" w:hAnsi="Arial" w:cs="Arial"/>
          <w:sz w:val="24"/>
          <w:szCs w:val="24"/>
          <w:lang w:val="en" w:eastAsia="en-GB"/>
        </w:rPr>
      </w:pPr>
      <w:r w:rsidRPr="00EC7C82">
        <w:rPr>
          <w:rFonts w:ascii="Arial" w:eastAsia="Times New Roman" w:hAnsi="Arial" w:cs="Arial"/>
          <w:sz w:val="24"/>
          <w:szCs w:val="24"/>
          <w:lang w:val="en" w:eastAsia="en-GB"/>
        </w:rPr>
        <w:t>The Key Person will usually be the person who welcomes the child and parent/</w:t>
      </w:r>
      <w:proofErr w:type="spellStart"/>
      <w:r w:rsidRPr="00EC7C82">
        <w:rPr>
          <w:rFonts w:ascii="Arial" w:eastAsia="Times New Roman" w:hAnsi="Arial" w:cs="Arial"/>
          <w:sz w:val="24"/>
          <w:szCs w:val="24"/>
          <w:lang w:val="en" w:eastAsia="en-GB"/>
        </w:rPr>
        <w:t>carer</w:t>
      </w:r>
      <w:proofErr w:type="spellEnd"/>
      <w:r w:rsidRPr="00EC7C82">
        <w:rPr>
          <w:rFonts w:ascii="Arial" w:eastAsia="Times New Roman" w:hAnsi="Arial" w:cs="Arial"/>
          <w:sz w:val="24"/>
          <w:szCs w:val="24"/>
          <w:lang w:val="en" w:eastAsia="en-GB"/>
        </w:rPr>
        <w:t xml:space="preserve"> to the Centre and helps to settle the child into the session. They would also be the main person providing the child’s intimate care such as nappy changing, putting to sleep and physical closeness. Any information shared with the parents is also done mainly through the Key Person.</w:t>
      </w:r>
    </w:p>
    <w:p w14:paraId="26F6A6C5" w14:textId="5A0EA301" w:rsidR="00B958A8" w:rsidRPr="00B958A8" w:rsidRDefault="00B958A8" w:rsidP="00B958A8">
      <w:pPr>
        <w:spacing w:after="200" w:line="276" w:lineRule="auto"/>
        <w:rPr>
          <w:rFonts w:ascii="Arial" w:eastAsia="Calibri" w:hAnsi="Arial" w:cs="Arial"/>
          <w:sz w:val="28"/>
          <w:szCs w:val="28"/>
        </w:rPr>
      </w:pPr>
    </w:p>
    <w:p w14:paraId="417A893F" w14:textId="4E1570F5" w:rsidR="00AA23F8" w:rsidRDefault="00AA23F8"/>
    <w:sectPr w:rsidR="00AA23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874D" w14:textId="77777777" w:rsidR="00435A64" w:rsidRDefault="00435A64" w:rsidP="00B958A8">
      <w:pPr>
        <w:spacing w:after="0" w:line="240" w:lineRule="auto"/>
      </w:pPr>
      <w:r>
        <w:separator/>
      </w:r>
    </w:p>
  </w:endnote>
  <w:endnote w:type="continuationSeparator" w:id="0">
    <w:p w14:paraId="41A41A9B" w14:textId="77777777" w:rsidR="00435A64" w:rsidRDefault="00435A64" w:rsidP="00B9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72D6" w14:textId="77777777" w:rsidR="00435A64" w:rsidRDefault="00435A64" w:rsidP="00B958A8">
      <w:pPr>
        <w:spacing w:after="0" w:line="240" w:lineRule="auto"/>
      </w:pPr>
      <w:r>
        <w:separator/>
      </w:r>
    </w:p>
  </w:footnote>
  <w:footnote w:type="continuationSeparator" w:id="0">
    <w:p w14:paraId="7CFD00C7" w14:textId="77777777" w:rsidR="00435A64" w:rsidRDefault="00435A64" w:rsidP="00B95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D635" w14:textId="5F01ADA2" w:rsidR="00B958A8" w:rsidRPr="00B958A8" w:rsidRDefault="00EC0FAB" w:rsidP="00B958A8">
    <w:pPr>
      <w:spacing w:after="200" w:line="276" w:lineRule="auto"/>
      <w:rPr>
        <w:rFonts w:ascii="Arial" w:eastAsia="Calibri" w:hAnsi="Arial" w:cs="Arial"/>
        <w:b/>
        <w:bCs/>
        <w:sz w:val="28"/>
        <w:szCs w:val="28"/>
      </w:rPr>
    </w:pPr>
    <w:r>
      <w:rPr>
        <w:rFonts w:ascii="Arial" w:eastAsia="Calibri" w:hAnsi="Arial" w:cs="Arial"/>
        <w:noProof/>
        <w:sz w:val="28"/>
        <w:szCs w:val="28"/>
      </w:rPr>
      <w:drawing>
        <wp:anchor distT="0" distB="0" distL="114300" distR="114300" simplePos="0" relativeHeight="251667456" behindDoc="1" locked="0" layoutInCell="1" allowOverlap="1" wp14:anchorId="17CD4154" wp14:editId="35DA3FF7">
          <wp:simplePos x="0" y="0"/>
          <wp:positionH relativeFrom="column">
            <wp:posOffset>-812800</wp:posOffset>
          </wp:positionH>
          <wp:positionV relativeFrom="paragraph">
            <wp:posOffset>-386080</wp:posOffset>
          </wp:positionV>
          <wp:extent cx="1024255" cy="1000125"/>
          <wp:effectExtent l="0" t="0" r="4445" b="9525"/>
          <wp:wrapTight wrapText="bothSides">
            <wp:wrapPolygon edited="0">
              <wp:start x="0" y="0"/>
              <wp:lineTo x="0" y="21394"/>
              <wp:lineTo x="21292" y="21394"/>
              <wp:lineTo x="212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14:sizeRelH relativeFrom="page">
            <wp14:pctWidth>0</wp14:pctWidth>
          </wp14:sizeRelH>
          <wp14:sizeRelV relativeFrom="page">
            <wp14:pctHeight>0</wp14:pctHeight>
          </wp14:sizeRelV>
        </wp:anchor>
      </w:drawing>
    </w:r>
    <w:r w:rsidR="00B958A8">
      <w:rPr>
        <w:noProof/>
      </w:rPr>
      <w:drawing>
        <wp:anchor distT="0" distB="0" distL="114300" distR="114300" simplePos="0" relativeHeight="251665408" behindDoc="1" locked="0" layoutInCell="1" allowOverlap="1" wp14:anchorId="43C1CADE" wp14:editId="4FDB461F">
          <wp:simplePos x="0" y="0"/>
          <wp:positionH relativeFrom="column">
            <wp:posOffset>5626100</wp:posOffset>
          </wp:positionH>
          <wp:positionV relativeFrom="paragraph">
            <wp:posOffset>-301625</wp:posOffset>
          </wp:positionV>
          <wp:extent cx="792480" cy="798830"/>
          <wp:effectExtent l="0" t="0" r="7620" b="1270"/>
          <wp:wrapTight wrapText="bothSides">
            <wp:wrapPolygon edited="0">
              <wp:start x="0" y="0"/>
              <wp:lineTo x="0" y="21119"/>
              <wp:lineTo x="21288" y="21119"/>
              <wp:lineTo x="212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798830"/>
                  </a:xfrm>
                  <a:prstGeom prst="rect">
                    <a:avLst/>
                  </a:prstGeom>
                  <a:noFill/>
                </pic:spPr>
              </pic:pic>
            </a:graphicData>
          </a:graphic>
          <wp14:sizeRelH relativeFrom="page">
            <wp14:pctWidth>0</wp14:pctWidth>
          </wp14:sizeRelH>
          <wp14:sizeRelV relativeFrom="page">
            <wp14:pctHeight>0</wp14:pctHeight>
          </wp14:sizeRelV>
        </wp:anchor>
      </w:drawing>
    </w:r>
    <w:r w:rsidR="00B958A8">
      <w:rPr>
        <w:rFonts w:ascii="Arial" w:eastAsia="Calibri" w:hAnsi="Arial" w:cs="Arial"/>
        <w:sz w:val="28"/>
        <w:szCs w:val="28"/>
      </w:rPr>
      <w:t xml:space="preserve">        </w:t>
    </w:r>
    <w:r>
      <w:rPr>
        <w:rFonts w:ascii="Arial" w:eastAsia="Calibri" w:hAnsi="Arial" w:cs="Arial"/>
        <w:sz w:val="28"/>
        <w:szCs w:val="28"/>
      </w:rPr>
      <w:t xml:space="preserve">    </w:t>
    </w:r>
    <w:r w:rsidR="00B958A8">
      <w:rPr>
        <w:rFonts w:ascii="Arial" w:eastAsia="Calibri" w:hAnsi="Arial" w:cs="Arial"/>
        <w:sz w:val="28"/>
        <w:szCs w:val="28"/>
      </w:rPr>
      <w:t xml:space="preserve"> </w:t>
    </w:r>
    <w:r w:rsidR="00FF1A3E">
      <w:rPr>
        <w:rFonts w:ascii="Arial" w:eastAsia="Calibri" w:hAnsi="Arial" w:cs="Arial"/>
        <w:sz w:val="28"/>
        <w:szCs w:val="28"/>
      </w:rPr>
      <w:t xml:space="preserve">  </w:t>
    </w:r>
    <w:r w:rsidR="00B958A8" w:rsidRPr="00B958A8">
      <w:rPr>
        <w:rFonts w:ascii="Arial" w:eastAsia="Calibri" w:hAnsi="Arial" w:cs="Arial"/>
        <w:b/>
        <w:bCs/>
        <w:sz w:val="28"/>
        <w:szCs w:val="28"/>
      </w:rPr>
      <w:t>Bristol City Council Children’s Centres</w:t>
    </w:r>
  </w:p>
  <w:p w14:paraId="1A306593" w14:textId="66C35B0D" w:rsidR="00B958A8" w:rsidRPr="00B958A8" w:rsidRDefault="00B958A8" w:rsidP="00B958A8">
    <w:pPr>
      <w:spacing w:after="200" w:line="276" w:lineRule="auto"/>
      <w:rPr>
        <w:rFonts w:ascii="Arial" w:eastAsia="Calibri" w:hAnsi="Arial" w:cs="Arial"/>
        <w:b/>
        <w:bCs/>
        <w:sz w:val="28"/>
        <w:szCs w:val="28"/>
      </w:rPr>
    </w:pPr>
    <w:r w:rsidRPr="00B958A8">
      <w:rPr>
        <w:rFonts w:ascii="Arial" w:eastAsia="Calibri" w:hAnsi="Arial" w:cs="Arial"/>
        <w:b/>
        <w:bCs/>
        <w:sz w:val="28"/>
        <w:szCs w:val="28"/>
      </w:rPr>
      <w:t xml:space="preserve">               </w:t>
    </w:r>
    <w:r w:rsidR="00EC0FAB">
      <w:rPr>
        <w:rFonts w:ascii="Arial" w:eastAsia="Calibri" w:hAnsi="Arial" w:cs="Arial"/>
        <w:b/>
        <w:bCs/>
        <w:sz w:val="28"/>
        <w:szCs w:val="28"/>
      </w:rPr>
      <w:t xml:space="preserve">  </w:t>
    </w:r>
    <w:r w:rsidRPr="00B958A8">
      <w:rPr>
        <w:rFonts w:ascii="Arial" w:eastAsia="Calibri" w:hAnsi="Arial" w:cs="Arial"/>
        <w:b/>
        <w:bCs/>
        <w:sz w:val="28"/>
        <w:szCs w:val="28"/>
      </w:rPr>
      <w:t xml:space="preserve"> </w:t>
    </w:r>
    <w:r w:rsidR="00FF1A3E">
      <w:rPr>
        <w:rFonts w:ascii="Arial" w:eastAsia="Calibri" w:hAnsi="Arial" w:cs="Arial"/>
        <w:b/>
        <w:bCs/>
        <w:sz w:val="28"/>
        <w:szCs w:val="28"/>
      </w:rPr>
      <w:t xml:space="preserve">  </w:t>
    </w:r>
    <w:r w:rsidRPr="00B958A8">
      <w:rPr>
        <w:rFonts w:ascii="Arial" w:eastAsia="Calibri" w:hAnsi="Arial" w:cs="Arial"/>
        <w:b/>
        <w:bCs/>
        <w:sz w:val="28"/>
        <w:szCs w:val="28"/>
      </w:rPr>
      <w:t xml:space="preserve"> Early Education and Childcare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46"/>
    <w:rsid w:val="00045546"/>
    <w:rsid w:val="003F7D83"/>
    <w:rsid w:val="00435A64"/>
    <w:rsid w:val="00572C19"/>
    <w:rsid w:val="006136E1"/>
    <w:rsid w:val="009D5972"/>
    <w:rsid w:val="00AA23F8"/>
    <w:rsid w:val="00B958A8"/>
    <w:rsid w:val="00EC0FAB"/>
    <w:rsid w:val="00EC7C82"/>
    <w:rsid w:val="00FF1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EF17"/>
  <w15:chartTrackingRefBased/>
  <w15:docId w15:val="{FCAA88A3-6BA3-4DFE-9C3B-4EC0E94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8"/>
  </w:style>
  <w:style w:type="paragraph" w:styleId="Footer">
    <w:name w:val="footer"/>
    <w:basedOn w:val="Normal"/>
    <w:link w:val="FooterChar"/>
    <w:uiPriority w:val="99"/>
    <w:unhideWhenUsed/>
    <w:rsid w:val="00B95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8"/>
  </w:style>
  <w:style w:type="table" w:styleId="TableGrid">
    <w:name w:val="Table Grid"/>
    <w:basedOn w:val="TableNormal"/>
    <w:uiPriority w:val="39"/>
    <w:rsid w:val="003F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F556F8C1DD1489FD8994940B54B26" ma:contentTypeVersion="10" ma:contentTypeDescription="Create a new document." ma:contentTypeScope="" ma:versionID="1361b68c37800338c79472dcf872f3c8">
  <xsd:schema xmlns:xsd="http://www.w3.org/2001/XMLSchema" xmlns:xs="http://www.w3.org/2001/XMLSchema" xmlns:p="http://schemas.microsoft.com/office/2006/metadata/properties" xmlns:ns3="9d664361-b0c1-45e8-9715-38db2c437294" targetNamespace="http://schemas.microsoft.com/office/2006/metadata/properties" ma:root="true" ma:fieldsID="2f1e3d9b334aa741049a68a6a3d6770e" ns3:_="">
    <xsd:import namespace="9d664361-b0c1-45e8-9715-38db2c4372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4361-b0c1-45e8-9715-38db2c437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336E7-C776-43CE-95ED-9AFDAA00F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1EB8E1-4DE7-4E76-BEB7-7DF3084F769A}">
  <ds:schemaRefs>
    <ds:schemaRef ds:uri="http://schemas.microsoft.com/sharepoint/v3/contenttype/forms"/>
  </ds:schemaRefs>
</ds:datastoreItem>
</file>

<file path=customXml/itemProps3.xml><?xml version="1.0" encoding="utf-8"?>
<ds:datastoreItem xmlns:ds="http://schemas.openxmlformats.org/officeDocument/2006/customXml" ds:itemID="{CD3A6C99-E90F-4216-B2EF-8B6E9749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64361-b0c1-45e8-9715-38db2c437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Butler</dc:creator>
  <cp:keywords/>
  <dc:description/>
  <cp:lastModifiedBy>Dawn Butler</cp:lastModifiedBy>
  <cp:revision>2</cp:revision>
  <dcterms:created xsi:type="dcterms:W3CDTF">2021-04-19T07:37:00Z</dcterms:created>
  <dcterms:modified xsi:type="dcterms:W3CDTF">2021-04-19T07:37:00Z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0x010100456F556F8C1DD1489FD8994940B54B26</vt:lpwstr>
  </property>
</Properties>
</file>